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2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Style w:val="41"/>
                <w:rFonts w:hint="eastAsia"/>
              </w:rPr>
              <w:t>注</w:t>
            </w:r>
            <w:r>
              <w:rPr>
                <w:rFonts w:hint="eastAsia" w:ascii="ＭＳ 明朝" w:hAnsi="ＭＳ 明朝"/>
                <w:vertAlign w:val="superscript"/>
              </w:rPr>
              <w:t>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20"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w:t>
            </w:r>
          </w:p>
          <w:p>
            <w:pPr>
              <w:pStyle w:val="0"/>
              <w:suppressAutoHyphens w:val="1"/>
              <w:kinsoku w:val="0"/>
              <w:overflowPunct w:val="0"/>
              <w:autoSpaceDE w:val="0"/>
              <w:autoSpaceDN w:val="0"/>
              <w:adjustRightInd w:val="0"/>
              <w:spacing w:line="0" w:lineRule="atLeast"/>
              <w:ind w:left="212" w:leftChars="100"/>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spacing w:val="16"/>
                <w:kern w:val="0"/>
                <w:sz w:val="18"/>
              </w:rPr>
              <w:t>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PMingLiU"/>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（Ｂ－Ａ）／Ｂ×１００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％≧５％</w:t>
            </w: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spacing w:line="0" w:lineRule="atLeast"/>
              <w:ind w:firstLine="848"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Style w:val="41"/>
                <w:rFonts w:hint="eastAsia"/>
              </w:rPr>
              <w:t>注</w:t>
            </w:r>
            <w:r>
              <w:rPr>
                <w:rFonts w:hint="eastAsia"/>
                <w:vertAlign w:val="superscript"/>
              </w:rPr>
              <w:t>３</w:t>
            </w: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spacing w:line="0" w:lineRule="atLeast"/>
              <w:ind w:firstLine="848"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column">
                        <wp:posOffset>-33655</wp:posOffset>
                      </wp:positionH>
                      <wp:positionV relativeFrom="paragraph">
                        <wp:posOffset>142875</wp:posOffset>
                      </wp:positionV>
                      <wp:extent cx="608393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083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2.6500000000000004pt,11.25pt" to="476.4pt,11.25pt">
                      <v:fill/>
                      <v:stroke linestyle="single" endcap="flat" dashstyle="solid"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竹　産　第　　　　号</w:t>
            </w:r>
          </w:p>
          <w:p>
            <w:pPr>
              <w:pStyle w:val="0"/>
              <w:suppressAutoHyphens w:val="1"/>
              <w:kinsoku w:val="0"/>
              <w:wordWrap w:val="0"/>
              <w:overflowPunct w:val="0"/>
              <w:autoSpaceDE w:val="0"/>
              <w:autoSpaceDN w:val="0"/>
              <w:adjustRightInd w:val="0"/>
              <w:spacing w:line="0" w:lineRule="atLeast"/>
              <w:ind w:firstLine="244"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w:t>
            </w:r>
          </w:p>
          <w:p>
            <w:pPr>
              <w:pStyle w:val="0"/>
              <w:suppressAutoHyphens w:val="1"/>
              <w:kinsoku w:val="0"/>
              <w:wordWrap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竹原市長</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pacing w:line="0" w:lineRule="atLeast"/>
        <w:ind w:left="567" w:leftChars="0" w:hanging="357"/>
        <w:rPr>
          <w:rFonts w:hint="default"/>
        </w:rPr>
      </w:pPr>
      <w:r>
        <w:rPr>
          <w:rFonts w:hint="eastAsia" w:ascii="ＭＳ ゴシック" w:hAnsi="ＭＳ ゴシック" w:eastAsia="ＭＳ ゴシック"/>
          <w:color w:val="000000"/>
          <w:kern w:val="0"/>
        </w:rPr>
        <w:t>市長から認定を受けた日から３０日以内に金融機関又は信用保証協会に対して、保証の申込みを行うことが必要です。</w:t>
      </w:r>
    </w:p>
    <w:sectPr>
      <w:footerReference r:id="rId6" w:type="default"/>
      <w:pgSz w:w="11906" w:h="16838"/>
      <w:pgMar w:top="1134" w:right="1168" w:bottom="1134"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2</Pages>
  <Words>0</Words>
  <Characters>645</Characters>
  <Application>JUST Note</Application>
  <Lines>58</Lines>
  <Paragraphs>33</Paragraphs>
  <Company>METI</Company>
  <CharactersWithSpaces>1084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2024-11-12T05:55:00Z</cp:lastPrinted>
  <dcterms:created xsi:type="dcterms:W3CDTF">2024-09-30T11:54:00Z</dcterms:created>
  <dcterms:modified xsi:type="dcterms:W3CDTF">2024-11-14T05:58:58Z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