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4" w:hanging="234" w:hangingChars="100"/>
        <w:rPr>
          <w:rFonts w:hint="default" w:ascii="ＭＳ 明朝" w:hAnsi="ＭＳ 明朝"/>
          <w:kern w:val="0"/>
        </w:rPr>
      </w:pPr>
      <w:r>
        <w:rPr>
          <w:rFonts w:hint="eastAsia" w:ascii="ＭＳ 明朝" w:hAnsi="ＭＳ 明朝"/>
          <w:kern w:val="0"/>
        </w:rPr>
        <w:t>様式第１３号（第９条関係）</w:t>
      </w:r>
    </w:p>
    <w:p>
      <w:pPr>
        <w:pStyle w:val="0"/>
        <w:ind w:left="234" w:hanging="234" w:hangingChars="100"/>
        <w:jc w:val="center"/>
        <w:rPr>
          <w:rFonts w:hint="default" w:ascii="ＭＳ 明朝" w:hAnsi="ＭＳ 明朝"/>
          <w:kern w:val="0"/>
        </w:rPr>
      </w:pPr>
      <w:r>
        <w:rPr>
          <w:rFonts w:hint="eastAsia" w:ascii="ＭＳ 明朝" w:hAnsi="ＭＳ 明朝"/>
          <w:kern w:val="0"/>
        </w:rPr>
        <w:t>事業報告書</w:t>
      </w:r>
    </w:p>
    <w:p>
      <w:pPr>
        <w:pStyle w:val="0"/>
        <w:ind w:left="234" w:hanging="234" w:hangingChars="100"/>
        <w:jc w:val="left"/>
        <w:rPr>
          <w:rFonts w:hint="default" w:ascii="ＭＳ 明朝" w:hAnsi="ＭＳ 明朝"/>
          <w:kern w:val="0"/>
        </w:rPr>
      </w:pPr>
    </w:p>
    <w:p>
      <w:pPr>
        <w:pStyle w:val="0"/>
        <w:rPr>
          <w:rFonts w:hint="default"/>
          <w:sz w:val="21"/>
        </w:rPr>
      </w:pPr>
      <w:r>
        <w:rPr>
          <w:rFonts w:hint="eastAsia"/>
          <w:sz w:val="21"/>
        </w:rPr>
        <w:t>１　補助事業の内容等について</w:t>
      </w:r>
    </w:p>
    <w:tbl>
      <w:tblPr>
        <w:tblStyle w:val="11"/>
        <w:tblW w:w="9264" w:type="dxa"/>
        <w:tblInd w:w="104"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56"/>
        <w:gridCol w:w="7608"/>
      </w:tblGrid>
      <w:tr>
        <w:trPr>
          <w:trHeight w:val="240" w:hRule="atLeast"/>
        </w:trPr>
        <w:tc>
          <w:tcPr>
            <w:tcW w:w="16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ソフト事業</w:t>
            </w: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取組の目的・内容</w:t>
            </w:r>
          </w:p>
        </w:tc>
      </w:tr>
      <w:tr>
        <w:trPr>
          <w:trHeight w:val="1434"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290"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事業実施による効果</w:t>
            </w:r>
            <w:r>
              <w:rPr>
                <w:rFonts w:hint="eastAsia" w:ascii="ＭＳ 明朝" w:hAnsi="ＭＳ 明朝"/>
                <w:sz w:val="21"/>
              </w:rPr>
              <w:t>（今後の見通し含む）</w:t>
            </w:r>
          </w:p>
        </w:tc>
      </w:tr>
      <w:tr>
        <w:trPr>
          <w:trHeight w:val="1412"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322" w:hRule="atLeast"/>
        </w:trPr>
        <w:tc>
          <w:tcPr>
            <w:tcW w:w="16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ハード事業</w:t>
            </w:r>
          </w:p>
          <w:p>
            <w:pPr>
              <w:pStyle w:val="0"/>
              <w:rPr>
                <w:rFonts w:hint="default"/>
                <w:sz w:val="21"/>
              </w:rPr>
            </w:pPr>
            <w:r>
              <w:rPr>
                <w:rFonts w:hint="eastAsia"/>
                <w:sz w:val="21"/>
              </w:rPr>
              <w:t>※該当がある</w:t>
            </w:r>
          </w:p>
          <w:p>
            <w:pPr>
              <w:pStyle w:val="0"/>
              <w:ind w:firstLine="204" w:firstLineChars="100"/>
              <w:rPr>
                <w:rFonts w:hint="default"/>
                <w:sz w:val="21"/>
              </w:rPr>
            </w:pPr>
            <w:r>
              <w:rPr>
                <w:rFonts w:hint="eastAsia"/>
                <w:sz w:val="21"/>
              </w:rPr>
              <w:t>場合に記載。</w:t>
            </w: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取組の目的・内容</w:t>
            </w:r>
          </w:p>
        </w:tc>
      </w:tr>
      <w:tr>
        <w:trPr>
          <w:trHeight w:val="1380"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322"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sz w:val="21"/>
              </w:rPr>
            </w:pPr>
            <w:r>
              <w:rPr>
                <w:rFonts w:hint="eastAsia"/>
                <w:sz w:val="21"/>
              </w:rPr>
              <w:t>事業実施による効果</w:t>
            </w:r>
            <w:r>
              <w:rPr>
                <w:rFonts w:hint="eastAsia" w:ascii="ＭＳ 明朝" w:hAnsi="ＭＳ 明朝"/>
                <w:sz w:val="21"/>
              </w:rPr>
              <w:t>（今後の見通し含む）</w:t>
            </w:r>
          </w:p>
        </w:tc>
      </w:tr>
      <w:tr>
        <w:trPr>
          <w:trHeight w:val="1380" w:hRule="atLeast"/>
        </w:trPr>
        <w:tc>
          <w:tcPr>
            <w:tcW w:w="16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7608"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r>
      <w:tr>
        <w:trPr>
          <w:trHeight w:val="444"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事業着手年月日</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年　　　月　　　日</w:t>
            </w:r>
          </w:p>
        </w:tc>
      </w:tr>
      <w:tr>
        <w:trPr>
          <w:trHeight w:val="444"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事業完了年月日</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年　　　月　　　日</w:t>
            </w:r>
          </w:p>
        </w:tc>
      </w:tr>
      <w:tr>
        <w:trPr>
          <w:trHeight w:val="444"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総事業費</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　　　　　　　　　　　　円（うち補助対象経費　　　　　　　　　　円）</w:t>
            </w:r>
          </w:p>
        </w:tc>
      </w:tr>
      <w:tr>
        <w:trPr>
          <w:trHeight w:val="854" w:hRule="atLeast"/>
        </w:trPr>
        <w:tc>
          <w:tcPr>
            <w:tcW w:w="165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適用補助率及び適用上限額</w:t>
            </w:r>
          </w:p>
        </w:tc>
        <w:tc>
          <w:tcPr>
            <w:tcW w:w="760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306" w:firstLineChars="150"/>
              <w:rPr>
                <w:rFonts w:hint="default"/>
                <w:sz w:val="21"/>
              </w:rPr>
            </w:pPr>
            <w:r>
              <w:rPr>
                <w:rFonts w:hint="eastAsia"/>
                <w:sz w:val="21"/>
              </w:rPr>
              <w:t>□</w:t>
            </w:r>
            <w:r>
              <w:rPr>
                <w:rFonts w:hint="eastAsia"/>
                <w:sz w:val="21"/>
              </w:rPr>
              <w:t xml:space="preserve"> </w:t>
            </w:r>
            <w:r>
              <w:rPr>
                <w:rFonts w:hint="eastAsia"/>
                <w:sz w:val="21"/>
              </w:rPr>
              <w:t>３分の２以内、５０万円　（市内に本店・本社を置く場合）</w:t>
            </w:r>
          </w:p>
          <w:p>
            <w:pPr>
              <w:pStyle w:val="0"/>
              <w:spacing w:line="140" w:lineRule="exact"/>
              <w:ind w:firstLine="306" w:firstLineChars="150"/>
              <w:rPr>
                <w:rFonts w:hint="default"/>
                <w:sz w:val="21"/>
              </w:rPr>
            </w:pPr>
          </w:p>
          <w:p>
            <w:pPr>
              <w:pStyle w:val="0"/>
              <w:rPr>
                <w:rFonts w:hint="default"/>
                <w:sz w:val="21"/>
              </w:rPr>
            </w:pPr>
            <w:r>
              <w:rPr>
                <w:rFonts w:hint="eastAsia"/>
                <w:sz w:val="21"/>
              </w:rPr>
              <w:t>　</w:t>
            </w:r>
            <w:r>
              <w:rPr>
                <w:rFonts w:hint="eastAsia"/>
                <w:sz w:val="21"/>
              </w:rPr>
              <w:t xml:space="preserve"> </w:t>
            </w:r>
            <w:r>
              <w:rPr>
                <w:rFonts w:hint="eastAsia"/>
                <w:sz w:val="21"/>
              </w:rPr>
              <w:t>□</w:t>
            </w:r>
            <w:r>
              <w:rPr>
                <w:rFonts w:hint="eastAsia"/>
                <w:sz w:val="21"/>
              </w:rPr>
              <w:t xml:space="preserve"> </w:t>
            </w:r>
            <w:r>
              <w:rPr>
                <w:rFonts w:hint="eastAsia"/>
                <w:sz w:val="21"/>
              </w:rPr>
              <w:t>２分の１以内、３０万円　（市外に本店・本社を置く場合）</w:t>
            </w:r>
          </w:p>
        </w:tc>
      </w:tr>
    </w:tbl>
    <w:p>
      <w:pPr>
        <w:pStyle w:val="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209</Characters>
  <Application>JUST Note</Application>
  <Lines>57</Lines>
  <Paragraphs>20</Paragraphs>
  <CharactersWithSpaces>250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