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浄化槽保守点検委託業務（単独処理浄化槽）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（保守点検一回当たりの単価）</w:t>
      </w: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36</Words>
  <Characters>209</Characters>
  <Application>JUST Note</Application>
  <Lines>1</Lines>
  <Paragraphs>1</Paragraphs>
  <Company>竹原市</Company>
  <CharactersWithSpaces>244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2024-02-29T05:17:00Z</cp:lastPrinted>
  <dcterms:created xsi:type="dcterms:W3CDTF">2018-03-28T04:57:00Z</dcterms:created>
  <dcterms:modified xsi:type="dcterms:W3CDTF">2026-03-04T08:44:35Z</dcterms:modified>
  <cp:revision>18</cp:revision>
</cp:coreProperties>
</file>