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 w:asciiTheme="minorEastAsia" w:hAnsiTheme="minorEastAsia"/>
        </w:rPr>
      </w:pPr>
      <w:bookmarkStart w:id="0" w:name="_GoBack"/>
      <w:bookmarkEnd w:id="0"/>
    </w:p>
    <w:tbl>
      <w:tblPr>
        <w:tblStyle w:val="26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750"/>
      </w:tblGrid>
      <w:tr>
        <w:trPr>
          <w:trHeight w:val="486" w:hRule="atLeast"/>
        </w:trPr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委託役務の名称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令和８年度公共用水域等水質分析業務委託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内訳</w:t>
      </w:r>
    </w:p>
    <w:tbl>
      <w:tblPr>
        <w:tblStyle w:val="26"/>
        <w:tblW w:w="93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2835"/>
        <w:gridCol w:w="708"/>
        <w:gridCol w:w="2127"/>
        <w:gridCol w:w="2686"/>
      </w:tblGrid>
      <w:tr>
        <w:trPr/>
        <w:tc>
          <w:tcPr>
            <w:tcW w:w="3823" w:type="dxa"/>
            <w:gridSpan w:val="2"/>
            <w:vAlign w:val="center"/>
          </w:tcPr>
          <w:p>
            <w:pPr>
              <w:pStyle w:val="25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項目</w:t>
            </w:r>
          </w:p>
        </w:tc>
        <w:tc>
          <w:tcPr>
            <w:tcW w:w="708" w:type="dxa"/>
            <w:vAlign w:val="center"/>
          </w:tcPr>
          <w:p>
            <w:pPr>
              <w:pStyle w:val="25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数量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単価（税抜）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金額（税抜）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分析費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ｐＨ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ＤＯ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ＢＯＤ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42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ＣＯＤ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ＳＳ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4</w:t>
            </w: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全窒素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全燐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カドミウム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全シアン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鉛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六価クロム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2</w:t>
            </w:r>
            <w:r>
              <w:rPr>
                <w:rFonts w:hint="eastAsia" w:asciiTheme="minorEastAsia" w:hAnsiTheme="minorEastAsia"/>
              </w:rPr>
              <w:t>9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砒素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総水銀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アルキル水銀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ＰＣＢ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1,1,1-</w:t>
            </w:r>
            <w:r>
              <w:rPr>
                <w:rFonts w:hint="eastAsia" w:asciiTheme="minorEastAsia" w:hAnsiTheme="minorEastAsia"/>
              </w:rPr>
              <w:t>トリクロロエタン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トリクロロエチレン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テトラクロロエチレン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硝酸性窒素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亜硝酸性窒素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マンガン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16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塩化物イオン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40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アンモニア態窒素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有機態窒素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燐酸態燐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3823" w:type="dxa"/>
            <w:gridSpan w:val="2"/>
            <w:vAlign w:val="center"/>
          </w:tcPr>
          <w:p>
            <w:pPr>
              <w:pStyle w:val="25"/>
              <w:spacing w:line="240" w:lineRule="exact"/>
              <w:jc w:val="both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諸経費（検体運搬費等）</w:t>
            </w:r>
          </w:p>
        </w:tc>
        <w:tc>
          <w:tcPr>
            <w:tcW w:w="708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12</w:t>
            </w:r>
          </w:p>
        </w:tc>
        <w:tc>
          <w:tcPr>
            <w:tcW w:w="2127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  <w:tc>
          <w:tcPr>
            <w:tcW w:w="2686" w:type="dxa"/>
            <w:vAlign w:val="center"/>
          </w:tcPr>
          <w:p>
            <w:pPr>
              <w:pStyle w:val="25"/>
              <w:spacing w:line="240" w:lineRule="exact"/>
              <w:jc w:val="righ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円</w:t>
            </w:r>
          </w:p>
        </w:tc>
      </w:tr>
    </w:tbl>
    <w:p>
      <w:pPr>
        <w:pStyle w:val="25"/>
        <w:spacing w:line="280" w:lineRule="exact"/>
        <w:rPr>
          <w:rFonts w:hint="default" w:asciiTheme="minorEastAsia" w:hAnsiTheme="minorEastAsia"/>
        </w:rPr>
      </w:pPr>
    </w:p>
    <w:p>
      <w:pPr>
        <w:pStyle w:val="25"/>
        <w:spacing w:line="280" w:lineRule="exact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spacing w:line="280" w:lineRule="exact"/>
        <w:rPr>
          <w:rFonts w:hint="default" w:asciiTheme="minorEastAsia" w:hAnsiTheme="minorEastAsia"/>
        </w:rPr>
      </w:pPr>
    </w:p>
    <w:p>
      <w:pPr>
        <w:pStyle w:val="25"/>
        <w:spacing w:line="28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280" w:lineRule="exact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280" w:lineRule="exact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280" w:lineRule="exact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280" w:lineRule="exact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280" w:lineRule="exact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280" w:lineRule="exact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※注意事項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上記内訳についても必ずすべて記載すること。</w:t>
      </w:r>
    </w:p>
    <w:p>
      <w:pPr>
        <w:pStyle w:val="0"/>
        <w:spacing w:line="280" w:lineRule="exac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上記内訳の合計額と入札額が一致しない場合または、上記内訳に記載がない</w:t>
      </w:r>
    </w:p>
    <w:p>
      <w:pPr>
        <w:pStyle w:val="0"/>
        <w:spacing w:line="280" w:lineRule="exact"/>
        <w:ind w:firstLine="528" w:firstLine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場合は、この入札書を無効とする。</w:t>
      </w:r>
    </w:p>
    <w:sectPr>
      <w:headerReference r:id="rId5" w:type="default"/>
      <w:pgSz w:w="11906" w:h="16838"/>
      <w:pgMar w:top="964" w:right="1134" w:bottom="851" w:left="1134" w:header="397" w:footer="992" w:gutter="0"/>
      <w:cols w:space="720"/>
      <w:textDirection w:val="lrTb"/>
      <w:docGrid w:type="linesAndChars" w:linePitch="317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 w:asciiTheme="minorEastAsia" w:hAnsiTheme="minorEastAsia"/>
        <w:sz w:val="42"/>
      </w:rPr>
    </w:pPr>
    <w:r>
      <w:rPr>
        <w:rFonts w:hint="default" w:asciiTheme="minorEastAsia" w:hAnsiTheme="minorEastAsia"/>
        <w:sz w:val="42"/>
      </w:rPr>
      <w:t>入</w:t>
    </w:r>
    <w:r>
      <w:rPr>
        <w:rFonts w:hint="eastAsia" w:asciiTheme="minorEastAsia" w:hAnsiTheme="minorEastAsia"/>
        <w:sz w:val="42"/>
      </w:rPr>
      <w:t>　</w:t>
    </w:r>
    <w:r>
      <w:rPr>
        <w:rFonts w:hint="default" w:asciiTheme="minorEastAsia" w:hAnsiTheme="minorEastAsia"/>
        <w:sz w:val="42"/>
      </w:rPr>
      <w:t>札</w:t>
    </w:r>
    <w:r>
      <w:rPr>
        <w:rFonts w:hint="eastAsia" w:asciiTheme="minorEastAsia" w:hAnsiTheme="minorEastAsia"/>
        <w:sz w:val="42"/>
      </w:rPr>
      <w:t>　</w:t>
    </w:r>
    <w:r>
      <w:rPr>
        <w:rFonts w:hint="default" w:asciiTheme="minorEastAsia" w:hAnsiTheme="minorEastAsia"/>
        <w:sz w:val="42"/>
      </w:rPr>
      <w:t>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104</Words>
  <Characters>595</Characters>
  <Application>JUST Note</Application>
  <Lines>4</Lines>
  <Paragraphs>1</Paragraphs>
  <Company>竹原市</Company>
  <CharactersWithSpaces>698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2024-02-08T00:14:00Z</cp:lastPrinted>
  <dcterms:created xsi:type="dcterms:W3CDTF">2024-02-07T09:52:00Z</dcterms:created>
  <dcterms:modified xsi:type="dcterms:W3CDTF">2026-01-28T07:06:13Z</dcterms:modified>
  <cp:revision>15</cp:revision>
</cp:coreProperties>
</file>